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2" w:rsidRDefault="001C1012" w:rsidP="001C1012">
      <w:pPr>
        <w:jc w:val="center"/>
        <w:rPr>
          <w:b/>
          <w:sz w:val="24"/>
        </w:rPr>
      </w:pPr>
      <w:r w:rsidRPr="00F35385">
        <w:rPr>
          <w:b/>
          <w:sz w:val="24"/>
        </w:rPr>
        <w:t>PRUEBA N°</w:t>
      </w:r>
      <w:r w:rsidR="00876CAE">
        <w:rPr>
          <w:b/>
          <w:sz w:val="24"/>
        </w:rPr>
        <w:t>5</w:t>
      </w:r>
      <w:r w:rsidRPr="00F35385">
        <w:rPr>
          <w:b/>
          <w:sz w:val="24"/>
        </w:rPr>
        <w:t xml:space="preserve">. </w:t>
      </w:r>
      <w:r w:rsidR="00876CAE">
        <w:rPr>
          <w:b/>
          <w:sz w:val="24"/>
        </w:rPr>
        <w:t>TRABAJO PESADO</w:t>
      </w:r>
    </w:p>
    <w:p w:rsidR="00894581" w:rsidRPr="00F35385" w:rsidRDefault="00894581" w:rsidP="001C1012">
      <w:pPr>
        <w:jc w:val="center"/>
        <w:rPr>
          <w:b/>
          <w:sz w:val="24"/>
        </w:rPr>
      </w:pPr>
    </w:p>
    <w:p w:rsidR="00006F6B" w:rsidRDefault="00876CAE" w:rsidP="00006F6B">
      <w:pPr>
        <w:pStyle w:val="Prrafodelista"/>
        <w:numPr>
          <w:ilvl w:val="0"/>
          <w:numId w:val="10"/>
        </w:numPr>
        <w:jc w:val="both"/>
      </w:pPr>
      <w:r>
        <w:t>La Ley N° 19.404 publicada en el Diario Oficial de fecha 21 de agosto de 1995, modificó el D.L. N° 3.500, de 1980, con el fin de otorgar a los trabajadores que desempeñen trabajos calificados como pesados, la posibilidad de pensionarse anticipadamente en la medida que den cumplimiento a ciertos requisitos. Para compensar el menor tiempo que deberán cotizar estableció una sobrecotización</w:t>
      </w:r>
      <w:r>
        <w:t>…</w:t>
      </w:r>
      <w:r w:rsidR="00006F6B">
        <w:t>:</w:t>
      </w:r>
      <w:r>
        <w:rPr>
          <w:rStyle w:val="Refdenotaalpie"/>
        </w:rPr>
        <w:footnoteReference w:id="1"/>
      </w:r>
    </w:p>
    <w:p w:rsidR="00876CAE" w:rsidRPr="00876CAE" w:rsidRDefault="00876CAE" w:rsidP="001C1012">
      <w:pPr>
        <w:pStyle w:val="Prrafodelista"/>
        <w:numPr>
          <w:ilvl w:val="0"/>
          <w:numId w:val="2"/>
        </w:numPr>
        <w:ind w:left="1418" w:hanging="425"/>
        <w:rPr>
          <w:highlight w:val="yellow"/>
        </w:rPr>
      </w:pPr>
      <w:r w:rsidRPr="00876CAE">
        <w:rPr>
          <w:highlight w:val="yellow"/>
        </w:rPr>
        <w:t>B</w:t>
      </w:r>
      <w:r w:rsidRPr="00876CAE">
        <w:rPr>
          <w:highlight w:val="yellow"/>
        </w:rPr>
        <w:t>ipartita de cargo de trabajador y empleador</w:t>
      </w:r>
      <w:r w:rsidRPr="00876CAE">
        <w:rPr>
          <w:highlight w:val="yellow"/>
        </w:rPr>
        <w:t>.</w:t>
      </w:r>
    </w:p>
    <w:p w:rsidR="00876CAE" w:rsidRDefault="00876CAE" w:rsidP="001C1012">
      <w:pPr>
        <w:pStyle w:val="Prrafodelista"/>
        <w:numPr>
          <w:ilvl w:val="0"/>
          <w:numId w:val="2"/>
        </w:numPr>
        <w:ind w:left="1418" w:hanging="425"/>
      </w:pPr>
      <w:r>
        <w:t>Unilateral,</w:t>
      </w:r>
      <w:r>
        <w:t xml:space="preserve"> de cargo de</w:t>
      </w:r>
      <w:r>
        <w:t>l</w:t>
      </w:r>
      <w:r>
        <w:t xml:space="preserve"> empleador</w:t>
      </w:r>
      <w:r>
        <w:t xml:space="preserve">. </w:t>
      </w:r>
    </w:p>
    <w:p w:rsidR="00876CAE" w:rsidRDefault="00876CAE" w:rsidP="00876CAE">
      <w:pPr>
        <w:pStyle w:val="Prrafodelista"/>
        <w:numPr>
          <w:ilvl w:val="0"/>
          <w:numId w:val="2"/>
        </w:numPr>
        <w:ind w:left="1418" w:hanging="425"/>
      </w:pPr>
      <w:r>
        <w:t xml:space="preserve">Unilateral, de cargo del </w:t>
      </w:r>
      <w:r>
        <w:t>trabajador</w:t>
      </w:r>
      <w:r>
        <w:t xml:space="preserve">. </w:t>
      </w:r>
    </w:p>
    <w:p w:rsidR="00876CAE" w:rsidRDefault="00876CAE" w:rsidP="00876CAE">
      <w:pPr>
        <w:pStyle w:val="Prrafodelista"/>
        <w:numPr>
          <w:ilvl w:val="0"/>
          <w:numId w:val="2"/>
        </w:numPr>
        <w:ind w:left="1418" w:hanging="425"/>
      </w:pPr>
      <w:r>
        <w:t xml:space="preserve">Bipartita de cargo de </w:t>
      </w:r>
      <w:r>
        <w:t xml:space="preserve">empleador </w:t>
      </w:r>
      <w:r>
        <w:t xml:space="preserve">y </w:t>
      </w:r>
      <w:r>
        <w:t>Estado</w:t>
      </w:r>
      <w:r>
        <w:t>.</w:t>
      </w:r>
    </w:p>
    <w:p w:rsidR="00894581" w:rsidRPr="00F35385" w:rsidRDefault="00894581"/>
    <w:p w:rsidR="00006F6B" w:rsidRDefault="00876CAE" w:rsidP="00006F6B">
      <w:pPr>
        <w:pStyle w:val="Prrafodelista"/>
        <w:numPr>
          <w:ilvl w:val="0"/>
          <w:numId w:val="10"/>
        </w:numPr>
        <w:jc w:val="both"/>
      </w:pPr>
      <w:r>
        <w:t>Para calificar las labores que por su naturaleza y por las condiciones en que se desarrollan, tienen el carácter de trabajos pesados, se crea la</w:t>
      </w:r>
      <w:r>
        <w:t xml:space="preserve"> Comisión</w:t>
      </w:r>
      <w:r w:rsidR="003C6011">
        <w:t xml:space="preserve"> Ergonómica Nacional. Adicionalmente, para apelar las decisiones de esta comisión, se crea mediante la Ley 19.404 la siguiente Comisión</w:t>
      </w:r>
      <w:r w:rsidR="00006F6B">
        <w:t xml:space="preserve">: </w:t>
      </w:r>
      <w:r w:rsidR="003C6011">
        <w:rPr>
          <w:rStyle w:val="Refdenotaalpie"/>
        </w:rPr>
        <w:footnoteReference w:id="2"/>
      </w:r>
    </w:p>
    <w:p w:rsidR="003C6011" w:rsidRPr="003C6011" w:rsidRDefault="003C6011" w:rsidP="003C6011">
      <w:pPr>
        <w:pStyle w:val="Prrafodelista"/>
        <w:numPr>
          <w:ilvl w:val="0"/>
          <w:numId w:val="4"/>
        </w:numPr>
        <w:ind w:firstLine="414"/>
      </w:pPr>
      <w:r>
        <w:t>Comisión de Usuarios del Sistema de Pensiones</w:t>
      </w:r>
    </w:p>
    <w:p w:rsidR="003C6011" w:rsidRPr="00F35385" w:rsidRDefault="003C6011" w:rsidP="003C6011">
      <w:pPr>
        <w:pStyle w:val="Prrafodelista"/>
        <w:numPr>
          <w:ilvl w:val="0"/>
          <w:numId w:val="4"/>
        </w:numPr>
        <w:ind w:firstLine="414"/>
      </w:pPr>
      <w:r>
        <w:t>Comisión Evaluadora de Puestos de Trabajo.</w:t>
      </w:r>
    </w:p>
    <w:p w:rsidR="00F66908" w:rsidRPr="00006F6B" w:rsidRDefault="00876CAE" w:rsidP="00F66908">
      <w:pPr>
        <w:pStyle w:val="Prrafodelista"/>
        <w:numPr>
          <w:ilvl w:val="0"/>
          <w:numId w:val="4"/>
        </w:numPr>
        <w:ind w:firstLine="414"/>
      </w:pPr>
      <w:r>
        <w:t>Comisión Médica Regional</w:t>
      </w:r>
      <w:r w:rsidR="00006F6B" w:rsidRPr="00006F6B">
        <w:t>.</w:t>
      </w:r>
    </w:p>
    <w:p w:rsidR="00F66908" w:rsidRPr="003C6011" w:rsidRDefault="00876CAE" w:rsidP="00F66908">
      <w:pPr>
        <w:pStyle w:val="Prrafodelista"/>
        <w:numPr>
          <w:ilvl w:val="0"/>
          <w:numId w:val="4"/>
        </w:numPr>
        <w:ind w:firstLine="414"/>
        <w:rPr>
          <w:highlight w:val="yellow"/>
        </w:rPr>
      </w:pPr>
      <w:r w:rsidRPr="003C6011">
        <w:rPr>
          <w:highlight w:val="yellow"/>
        </w:rPr>
        <w:t>Comisión de Apelaciones</w:t>
      </w:r>
      <w:r w:rsidR="00006F6B" w:rsidRPr="003C6011">
        <w:rPr>
          <w:highlight w:val="yellow"/>
        </w:rPr>
        <w:t>.</w:t>
      </w:r>
    </w:p>
    <w:p w:rsidR="00894581" w:rsidRPr="00F35385" w:rsidRDefault="00894581"/>
    <w:p w:rsidR="00F66908" w:rsidRPr="00F35385" w:rsidRDefault="003C6011" w:rsidP="00F66908">
      <w:pPr>
        <w:pStyle w:val="Prrafodelista"/>
        <w:numPr>
          <w:ilvl w:val="0"/>
          <w:numId w:val="10"/>
        </w:numPr>
      </w:pPr>
      <w:r>
        <w:t xml:space="preserve">La sobrecotización </w:t>
      </w:r>
      <w:r>
        <w:t>para los Trabajos Pesados</w:t>
      </w:r>
      <w:r>
        <w:t>, fue fijada en el 4% de las remuneraciones imponibles del trabajador hasta el monto tope imponible vigente, porcentaje que se descompone en un 2% como cotización de cargo del trabajador y de un aporte por igual monto de cargo del empleador. No obstante, la Comisión Ergonómica Nacional al calificar un puesto de trabajo como pesado, podrá reducir el porcentaje de 4% a un 2%, fijando la cotización de cargo del trabajador y el aporte de cargo del empleador en un 1%, respectivamente</w:t>
      </w:r>
      <w:r>
        <w:t>. El argumento que justifica esta decisión es el siguiente:</w:t>
      </w:r>
      <w:r>
        <w:rPr>
          <w:rStyle w:val="Refdenotaalpie"/>
        </w:rPr>
        <w:footnoteReference w:id="3"/>
      </w:r>
    </w:p>
    <w:p w:rsidR="00C03ECB" w:rsidRPr="00F35385" w:rsidRDefault="003C6011" w:rsidP="001C1012">
      <w:pPr>
        <w:pStyle w:val="Prrafodelista"/>
        <w:numPr>
          <w:ilvl w:val="0"/>
          <w:numId w:val="5"/>
        </w:numPr>
        <w:ind w:left="1134" w:hanging="283"/>
      </w:pPr>
      <w:r>
        <w:t>El trabajo no produce desgaste</w:t>
      </w:r>
    </w:p>
    <w:p w:rsidR="00C03ECB" w:rsidRPr="00F35385" w:rsidRDefault="003C6011" w:rsidP="001C1012">
      <w:pPr>
        <w:pStyle w:val="Prrafodelista"/>
        <w:numPr>
          <w:ilvl w:val="0"/>
          <w:numId w:val="5"/>
        </w:numPr>
        <w:ind w:left="1134" w:hanging="283"/>
      </w:pPr>
      <w:r>
        <w:t>El trabajo produce un desgaste relativo</w:t>
      </w:r>
    </w:p>
    <w:p w:rsidR="001022A4" w:rsidRPr="003C6011" w:rsidRDefault="003C6011" w:rsidP="001C1012">
      <w:pPr>
        <w:pStyle w:val="Prrafodelista"/>
        <w:numPr>
          <w:ilvl w:val="0"/>
          <w:numId w:val="5"/>
        </w:numPr>
        <w:ind w:left="1134" w:hanging="283"/>
        <w:rPr>
          <w:highlight w:val="yellow"/>
        </w:rPr>
      </w:pPr>
      <w:r w:rsidRPr="003C6011">
        <w:rPr>
          <w:highlight w:val="yellow"/>
        </w:rPr>
        <w:t xml:space="preserve">El trabajo produce un </w:t>
      </w:r>
      <w:r w:rsidRPr="003C6011">
        <w:rPr>
          <w:highlight w:val="yellow"/>
        </w:rPr>
        <w:t>desgaste relativo menor</w:t>
      </w:r>
    </w:p>
    <w:p w:rsidR="001022A4" w:rsidRPr="00006F6B" w:rsidRDefault="003C6011" w:rsidP="001C1012">
      <w:pPr>
        <w:pStyle w:val="Prrafodelista"/>
        <w:numPr>
          <w:ilvl w:val="0"/>
          <w:numId w:val="5"/>
        </w:numPr>
        <w:ind w:left="1134" w:hanging="283"/>
      </w:pPr>
      <w:r>
        <w:t>El trabajo produce un desgaste conducente a invalidez</w:t>
      </w:r>
    </w:p>
    <w:p w:rsidR="00894581" w:rsidRDefault="00894581" w:rsidP="001022A4"/>
    <w:p w:rsidR="00785CBF" w:rsidRPr="00F35385" w:rsidRDefault="00785CBF" w:rsidP="001022A4"/>
    <w:p w:rsidR="00596D17" w:rsidRDefault="003C6011" w:rsidP="00596D17">
      <w:pPr>
        <w:pStyle w:val="Prrafodelista"/>
        <w:numPr>
          <w:ilvl w:val="0"/>
          <w:numId w:val="10"/>
        </w:numPr>
      </w:pPr>
      <w:r>
        <w:t xml:space="preserve">El dictamen </w:t>
      </w:r>
      <w:r w:rsidR="0086798B">
        <w:t xml:space="preserve">que otorga el beneficio derivado de la Ley de Trabajos Pesados, </w:t>
      </w:r>
      <w:r>
        <w:t xml:space="preserve">será notificado tanto al trabajador como a su empleador, y a las demás personas </w:t>
      </w:r>
      <w:r w:rsidR="0086798B">
        <w:t xml:space="preserve">que corresponde </w:t>
      </w:r>
      <w:r>
        <w:t xml:space="preserve">si fuere procedente, mediante el envío de carta certificada, entendiéndose que la notificación se practicó al quinto día hábil siguiente a su franqueo postal. A partir de esa fecha, el empleador y el trabajador disponen del </w:t>
      </w:r>
      <w:r w:rsidR="0086798B">
        <w:t xml:space="preserve">siguiente </w:t>
      </w:r>
      <w:r>
        <w:t xml:space="preserve">plazo para interponer el reclamo </w:t>
      </w:r>
      <w:r w:rsidR="0086798B">
        <w:t>de apelación ante la entidad que corresponde</w:t>
      </w:r>
      <w:r w:rsidR="00596D17">
        <w:t>:</w:t>
      </w:r>
      <w:r w:rsidR="0086798B">
        <w:rPr>
          <w:rStyle w:val="Refdenotaalpie"/>
        </w:rPr>
        <w:footnoteReference w:id="4"/>
      </w:r>
      <w:r w:rsidR="00596D17" w:rsidRPr="00F35385">
        <w:t xml:space="preserve"> </w:t>
      </w:r>
    </w:p>
    <w:p w:rsidR="001022A4" w:rsidRPr="00F35385" w:rsidRDefault="0086798B" w:rsidP="001C1012">
      <w:pPr>
        <w:pStyle w:val="Prrafodelista"/>
        <w:numPr>
          <w:ilvl w:val="0"/>
          <w:numId w:val="6"/>
        </w:numPr>
        <w:ind w:left="1134" w:hanging="283"/>
      </w:pPr>
      <w:r>
        <w:t>15 días hábiles</w:t>
      </w:r>
      <w:r w:rsidR="00C82222">
        <w:t>.</w:t>
      </w:r>
    </w:p>
    <w:p w:rsidR="001022A4" w:rsidRPr="00F35385" w:rsidRDefault="0086798B" w:rsidP="001C1012">
      <w:pPr>
        <w:pStyle w:val="Prrafodelista"/>
        <w:numPr>
          <w:ilvl w:val="0"/>
          <w:numId w:val="6"/>
        </w:numPr>
        <w:ind w:left="1134" w:hanging="283"/>
        <w:rPr>
          <w:highlight w:val="yellow"/>
        </w:rPr>
      </w:pPr>
      <w:r>
        <w:rPr>
          <w:highlight w:val="yellow"/>
        </w:rPr>
        <w:t>30 días hábiles</w:t>
      </w:r>
    </w:p>
    <w:p w:rsidR="001022A4" w:rsidRDefault="0086798B" w:rsidP="001C1012">
      <w:pPr>
        <w:pStyle w:val="Prrafodelista"/>
        <w:numPr>
          <w:ilvl w:val="0"/>
          <w:numId w:val="6"/>
        </w:numPr>
        <w:ind w:left="1134" w:hanging="283"/>
      </w:pPr>
      <w:r>
        <w:t>60 días hábiles</w:t>
      </w:r>
    </w:p>
    <w:p w:rsidR="004F3254" w:rsidRDefault="0086798B" w:rsidP="004F3254">
      <w:pPr>
        <w:pStyle w:val="Prrafodelista"/>
        <w:numPr>
          <w:ilvl w:val="0"/>
          <w:numId w:val="6"/>
        </w:numPr>
        <w:ind w:left="1134" w:hanging="283"/>
      </w:pPr>
      <w:r>
        <w:t>90 días hábiles</w:t>
      </w:r>
    </w:p>
    <w:p w:rsidR="00894581" w:rsidRDefault="00894581" w:rsidP="00894581"/>
    <w:p w:rsidR="00894581" w:rsidRDefault="00894581" w:rsidP="00894581"/>
    <w:p w:rsidR="00785CBF" w:rsidRDefault="00785CBF" w:rsidP="00894581"/>
    <w:p w:rsidR="00894581" w:rsidRPr="00894581" w:rsidRDefault="0086798B" w:rsidP="00894581">
      <w:pPr>
        <w:pStyle w:val="Prrafodelista"/>
        <w:numPr>
          <w:ilvl w:val="0"/>
          <w:numId w:val="10"/>
        </w:numPr>
      </w:pPr>
      <w:r>
        <w:t xml:space="preserve">En los </w:t>
      </w:r>
      <w:r>
        <w:t xml:space="preserve">siguientes casos, </w:t>
      </w:r>
      <w:r>
        <w:t>el monto de la cotización por trabajos pesados que se pague deba ser el resultante de aplicar la tasa de 4 o 2% sólo sobre la parte de la remuneración que corresponda a los días trabajados</w:t>
      </w:r>
      <w:r w:rsidR="00894581" w:rsidRPr="00894581">
        <w:t>:</w:t>
      </w:r>
      <w:r w:rsidR="00894581">
        <w:rPr>
          <w:rStyle w:val="Refdenotaalpie"/>
        </w:rPr>
        <w:footnoteReference w:id="5"/>
      </w:r>
    </w:p>
    <w:p w:rsidR="00894581" w:rsidRPr="00894581" w:rsidRDefault="0086798B" w:rsidP="00894581">
      <w:pPr>
        <w:pStyle w:val="Prrafodelista"/>
        <w:numPr>
          <w:ilvl w:val="0"/>
          <w:numId w:val="17"/>
        </w:numPr>
        <w:ind w:hanging="447"/>
      </w:pPr>
      <w:r>
        <w:t>Trabajadores acogidos a Subsidio por Incapacidad Laboral</w:t>
      </w:r>
    </w:p>
    <w:p w:rsidR="00894581" w:rsidRPr="00894581" w:rsidRDefault="0086798B" w:rsidP="00894581">
      <w:pPr>
        <w:pStyle w:val="Prrafodelista"/>
        <w:numPr>
          <w:ilvl w:val="0"/>
          <w:numId w:val="17"/>
        </w:numPr>
        <w:ind w:hanging="447"/>
      </w:pPr>
      <w:r>
        <w:t>Trabajadores con días de permiso sin goce de remuneración</w:t>
      </w:r>
    </w:p>
    <w:p w:rsidR="00894581" w:rsidRPr="00894581" w:rsidRDefault="0086798B" w:rsidP="00894581">
      <w:pPr>
        <w:pStyle w:val="Prrafodelista"/>
        <w:numPr>
          <w:ilvl w:val="0"/>
          <w:numId w:val="17"/>
        </w:numPr>
        <w:ind w:hanging="447"/>
      </w:pPr>
      <w:r>
        <w:t>Trabajadores en uso de sus días de vacaciones legales</w:t>
      </w:r>
      <w:r w:rsidR="00894581" w:rsidRPr="00894581">
        <w:t>.</w:t>
      </w:r>
    </w:p>
    <w:p w:rsidR="00894581" w:rsidRPr="0086798B" w:rsidRDefault="00894581" w:rsidP="00894581">
      <w:pPr>
        <w:pStyle w:val="Prrafodelista"/>
        <w:numPr>
          <w:ilvl w:val="0"/>
          <w:numId w:val="18"/>
        </w:numPr>
        <w:ind w:left="1134" w:hanging="141"/>
        <w:rPr>
          <w:highlight w:val="yellow"/>
        </w:rPr>
      </w:pPr>
      <w:r w:rsidRPr="0086798B">
        <w:rPr>
          <w:highlight w:val="yellow"/>
        </w:rPr>
        <w:t>I y II</w:t>
      </w:r>
    </w:p>
    <w:p w:rsidR="00894581" w:rsidRPr="0086798B" w:rsidRDefault="00894581" w:rsidP="00894581">
      <w:pPr>
        <w:pStyle w:val="Prrafodelista"/>
        <w:numPr>
          <w:ilvl w:val="0"/>
          <w:numId w:val="18"/>
        </w:numPr>
        <w:ind w:left="1134" w:hanging="141"/>
      </w:pPr>
      <w:r w:rsidRPr="0086798B">
        <w:t>I y III</w:t>
      </w:r>
    </w:p>
    <w:p w:rsidR="00894581" w:rsidRPr="00F35385" w:rsidRDefault="00894581" w:rsidP="00894581">
      <w:pPr>
        <w:pStyle w:val="Prrafodelista"/>
        <w:numPr>
          <w:ilvl w:val="0"/>
          <w:numId w:val="18"/>
        </w:numPr>
        <w:ind w:left="1134" w:hanging="141"/>
      </w:pPr>
      <w:r>
        <w:t>II y III</w:t>
      </w:r>
    </w:p>
    <w:p w:rsidR="00894581" w:rsidRPr="00894581" w:rsidRDefault="00894581" w:rsidP="00894581">
      <w:pPr>
        <w:pStyle w:val="Prrafodelista"/>
        <w:numPr>
          <w:ilvl w:val="0"/>
          <w:numId w:val="18"/>
        </w:numPr>
        <w:ind w:left="1134" w:hanging="141"/>
      </w:pPr>
      <w:r w:rsidRPr="00894581">
        <w:t>I, II y III</w:t>
      </w:r>
    </w:p>
    <w:p w:rsidR="00894581" w:rsidRDefault="00894581" w:rsidP="00894581"/>
    <w:p w:rsidR="00785CBF" w:rsidRDefault="00785CBF" w:rsidP="00894581"/>
    <w:p w:rsidR="00785CBF" w:rsidRDefault="00785CBF" w:rsidP="00894581"/>
    <w:p w:rsidR="00785CBF" w:rsidRDefault="00785CBF" w:rsidP="00894581"/>
    <w:p w:rsidR="0086798B" w:rsidRDefault="0086798B" w:rsidP="0086798B">
      <w:pPr>
        <w:pStyle w:val="Prrafodelista"/>
        <w:numPr>
          <w:ilvl w:val="0"/>
          <w:numId w:val="10"/>
        </w:numPr>
      </w:pPr>
      <w:r>
        <w:lastRenderedPageBreak/>
        <w:t xml:space="preserve">El Registro Público de </w:t>
      </w:r>
      <w:proofErr w:type="spellStart"/>
      <w:r>
        <w:t>Interconsultores</w:t>
      </w:r>
      <w:proofErr w:type="spellEnd"/>
      <w:r>
        <w:t xml:space="preserve"> </w:t>
      </w:r>
      <w:r w:rsidR="00785CBF">
        <w:t xml:space="preserve">de la Comisión Ergonómica Nacional y de la Comisión de Apelaciones, </w:t>
      </w:r>
      <w:r>
        <w:t>se encuentra establecido en la ley N° 19.404 y regulado</w:t>
      </w:r>
      <w:r w:rsidR="00785CBF">
        <w:t xml:space="preserve"> por el Reglamento de dicha ley</w:t>
      </w:r>
      <w:r>
        <w:t xml:space="preserve">. De acuerdo a lo establecido en el mencionado Reglamento, el Registro Público de </w:t>
      </w:r>
      <w:proofErr w:type="spellStart"/>
      <w:r>
        <w:t>Interconsultores</w:t>
      </w:r>
      <w:proofErr w:type="spellEnd"/>
      <w:r>
        <w:t xml:space="preserve"> deberá contemplar a lo menos, un especialista o perito por cada región del país</w:t>
      </w:r>
      <w:r w:rsidR="00785CBF">
        <w:t xml:space="preserve">. La </w:t>
      </w:r>
      <w:r>
        <w:t>fijación y calificación de los requisitos objetivos que tales especialistas y peritos deben cumplir para su inscripción, previa consulta a la Comisión Ergonómica Nacional</w:t>
      </w:r>
      <w:r w:rsidR="00785CBF">
        <w:t>, serán establecidos por la siguiente institución:</w:t>
      </w:r>
      <w:r w:rsidR="00785CBF">
        <w:rPr>
          <w:rStyle w:val="Refdenotaalpie"/>
        </w:rPr>
        <w:footnoteReference w:id="6"/>
      </w:r>
    </w:p>
    <w:p w:rsidR="00785CBF" w:rsidRPr="00F35385" w:rsidRDefault="00785CBF" w:rsidP="00785CBF">
      <w:pPr>
        <w:pStyle w:val="Prrafodelista"/>
        <w:numPr>
          <w:ilvl w:val="0"/>
          <w:numId w:val="19"/>
        </w:numPr>
        <w:ind w:left="1276" w:hanging="425"/>
      </w:pPr>
      <w:r>
        <w:t>Superintendencia de Salud</w:t>
      </w:r>
    </w:p>
    <w:p w:rsidR="00785CBF" w:rsidRPr="0086798B" w:rsidRDefault="00785CBF" w:rsidP="00785CBF">
      <w:pPr>
        <w:pStyle w:val="Prrafodelista"/>
        <w:numPr>
          <w:ilvl w:val="0"/>
          <w:numId w:val="19"/>
        </w:numPr>
        <w:ind w:left="1276" w:hanging="425"/>
        <w:rPr>
          <w:highlight w:val="yellow"/>
        </w:rPr>
      </w:pPr>
      <w:r>
        <w:rPr>
          <w:highlight w:val="yellow"/>
        </w:rPr>
        <w:t>Superintendencia de Pensiones</w:t>
      </w:r>
    </w:p>
    <w:p w:rsidR="00785CBF" w:rsidRPr="0086798B" w:rsidRDefault="00785CBF" w:rsidP="00785CBF">
      <w:pPr>
        <w:pStyle w:val="Prrafodelista"/>
        <w:numPr>
          <w:ilvl w:val="0"/>
          <w:numId w:val="19"/>
        </w:numPr>
        <w:ind w:left="1276" w:hanging="425"/>
      </w:pPr>
      <w:r>
        <w:t>Superintendencia de Seguridad Social</w:t>
      </w:r>
    </w:p>
    <w:p w:rsidR="00785CBF" w:rsidRPr="00F35385" w:rsidRDefault="00785CBF" w:rsidP="00785CBF">
      <w:pPr>
        <w:pStyle w:val="Prrafodelista"/>
        <w:numPr>
          <w:ilvl w:val="0"/>
          <w:numId w:val="19"/>
        </w:numPr>
        <w:ind w:left="1276" w:hanging="425"/>
      </w:pPr>
      <w:r>
        <w:t>Superintendencia de Valores y Seguros</w:t>
      </w:r>
    </w:p>
    <w:p w:rsidR="00785CBF" w:rsidRPr="00F35385" w:rsidRDefault="00785CBF" w:rsidP="00785CBF">
      <w:pPr>
        <w:pStyle w:val="Prrafodelista"/>
        <w:ind w:left="1276"/>
      </w:pPr>
    </w:p>
    <w:sectPr w:rsidR="00785CBF" w:rsidRPr="00F35385" w:rsidSect="001C1012">
      <w:headerReference w:type="default" r:id="rId8"/>
      <w:pgSz w:w="12240" w:h="15840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03" w:rsidRDefault="00745803" w:rsidP="00C03ECB">
      <w:pPr>
        <w:spacing w:after="0" w:line="240" w:lineRule="auto"/>
      </w:pPr>
      <w:r>
        <w:separator/>
      </w:r>
    </w:p>
  </w:endnote>
  <w:endnote w:type="continuationSeparator" w:id="0">
    <w:p w:rsidR="00745803" w:rsidRDefault="00745803" w:rsidP="00C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03" w:rsidRDefault="00745803" w:rsidP="00C03ECB">
      <w:pPr>
        <w:spacing w:after="0" w:line="240" w:lineRule="auto"/>
      </w:pPr>
      <w:r>
        <w:separator/>
      </w:r>
    </w:p>
  </w:footnote>
  <w:footnote w:type="continuationSeparator" w:id="0">
    <w:p w:rsidR="00745803" w:rsidRDefault="00745803" w:rsidP="00C03ECB">
      <w:pPr>
        <w:spacing w:after="0" w:line="240" w:lineRule="auto"/>
      </w:pPr>
      <w:r>
        <w:continuationSeparator/>
      </w:r>
    </w:p>
  </w:footnote>
  <w:footnote w:id="1">
    <w:p w:rsidR="00876CAE" w:rsidRDefault="00876C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Libro II, Título I Cotizaciones y Aportes Previsionales por desempeño de Trabajos Pesados</w:t>
      </w:r>
      <w:r w:rsidR="003C6011">
        <w:t>. Capítulo 1, N° 1</w:t>
      </w:r>
    </w:p>
  </w:footnote>
  <w:footnote w:id="2">
    <w:p w:rsidR="003C6011" w:rsidRDefault="003C60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Libro II, Título I Cotizaciones y Aportes Previsionales por desempeño de Trabajos Pesados</w:t>
      </w:r>
      <w:r>
        <w:t>. Capítulo 1, N° 3</w:t>
      </w:r>
    </w:p>
  </w:footnote>
  <w:footnote w:id="3">
    <w:p w:rsidR="003C6011" w:rsidRDefault="003C6011" w:rsidP="003C60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Libro II, Título I Cotizaciones y Aportes Previsionales por desempeño de Trabajos Pesados</w:t>
      </w:r>
      <w:r>
        <w:t>. Capítulo 2</w:t>
      </w:r>
      <w:r>
        <w:t xml:space="preserve">, N° </w:t>
      </w:r>
      <w:r>
        <w:t>1</w:t>
      </w:r>
    </w:p>
    <w:p w:rsidR="003C6011" w:rsidRDefault="003C6011">
      <w:pPr>
        <w:pStyle w:val="Textonotapie"/>
      </w:pPr>
    </w:p>
  </w:footnote>
  <w:footnote w:id="4">
    <w:p w:rsidR="0086798B" w:rsidRDefault="0086798B" w:rsidP="0086798B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>
        <w:t xml:space="preserve">Libro II, Título I Cotizaciones y Aportes Previsionales por desempeño de Trabajos Pesados. Capítulo </w:t>
      </w:r>
      <w:r>
        <w:t>3</w:t>
      </w:r>
      <w:r>
        <w:t>, N° 1</w:t>
      </w:r>
      <w:r>
        <w:t>, inciso segundo.</w:t>
      </w:r>
    </w:p>
  </w:footnote>
  <w:footnote w:id="5">
    <w:p w:rsidR="00894581" w:rsidRDefault="00894581" w:rsidP="0086798B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86798B">
        <w:t xml:space="preserve">Libro II, Título I Cotizaciones y Aportes Previsionales por desempeño de Trabajos Pesados. Capítulo </w:t>
      </w:r>
      <w:r w:rsidR="0086798B">
        <w:t>4</w:t>
      </w:r>
      <w:r w:rsidR="0086798B">
        <w:t xml:space="preserve">, N° </w:t>
      </w:r>
      <w:r w:rsidR="0086798B">
        <w:t>5</w:t>
      </w:r>
      <w:r w:rsidR="0086798B">
        <w:t>, inciso segundo.</w:t>
      </w:r>
      <w:bookmarkStart w:id="0" w:name="_GoBack"/>
      <w:bookmarkEnd w:id="0"/>
    </w:p>
  </w:footnote>
  <w:footnote w:id="6">
    <w:p w:rsidR="00785CBF" w:rsidRDefault="00785CBF" w:rsidP="00785CBF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>
        <w:t xml:space="preserve">Libro II, Título I Cotizaciones y Aportes Previsionales por desempeño de Trabajos Pesados. Capítulo </w:t>
      </w:r>
      <w:r>
        <w:t>9</w:t>
      </w:r>
      <w:r>
        <w:t xml:space="preserve">, N° </w:t>
      </w:r>
      <w:r>
        <w:t>1</w:t>
      </w:r>
      <w:r>
        <w:t>.</w:t>
      </w:r>
    </w:p>
    <w:p w:rsidR="00785CBF" w:rsidRDefault="00785CB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2" w:rsidRDefault="001C1012">
    <w:pPr>
      <w:pStyle w:val="Encabezado"/>
    </w:pPr>
    <w:r>
      <w:rPr>
        <w:noProof/>
        <w:lang w:eastAsia="es-CL"/>
      </w:rPr>
      <w:drawing>
        <wp:inline distT="0" distB="0" distL="0" distR="0">
          <wp:extent cx="747533" cy="4476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ncón Financier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01" cy="45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F8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1243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76D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616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046"/>
    <w:multiLevelType w:val="hybridMultilevel"/>
    <w:tmpl w:val="143C8B9C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0A3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825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7C5"/>
    <w:multiLevelType w:val="hybridMultilevel"/>
    <w:tmpl w:val="44387872"/>
    <w:lvl w:ilvl="0" w:tplc="BBE85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D769C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03AD"/>
    <w:multiLevelType w:val="hybridMultilevel"/>
    <w:tmpl w:val="785CCFBA"/>
    <w:lvl w:ilvl="0" w:tplc="F7A29B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5602"/>
    <w:multiLevelType w:val="hybridMultilevel"/>
    <w:tmpl w:val="2362B2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10"/>
    <w:multiLevelType w:val="hybridMultilevel"/>
    <w:tmpl w:val="715EAFBC"/>
    <w:lvl w:ilvl="0" w:tplc="313AFF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214B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42DD"/>
    <w:multiLevelType w:val="hybridMultilevel"/>
    <w:tmpl w:val="9F04F4F4"/>
    <w:lvl w:ilvl="0" w:tplc="A946796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54726EE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85BF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7071A"/>
    <w:multiLevelType w:val="multilevel"/>
    <w:tmpl w:val="63B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53916"/>
    <w:multiLevelType w:val="hybridMultilevel"/>
    <w:tmpl w:val="8B4C8004"/>
    <w:lvl w:ilvl="0" w:tplc="340A0013">
      <w:start w:val="1"/>
      <w:numFmt w:val="upperRoman"/>
      <w:lvlText w:val="%1."/>
      <w:lvlJc w:val="right"/>
      <w:pPr>
        <w:ind w:left="1487" w:hanging="360"/>
      </w:pPr>
    </w:lvl>
    <w:lvl w:ilvl="1" w:tplc="340A0019" w:tentative="1">
      <w:start w:val="1"/>
      <w:numFmt w:val="lowerLetter"/>
      <w:lvlText w:val="%2."/>
      <w:lvlJc w:val="left"/>
      <w:pPr>
        <w:ind w:left="2207" w:hanging="360"/>
      </w:pPr>
    </w:lvl>
    <w:lvl w:ilvl="2" w:tplc="340A001B" w:tentative="1">
      <w:start w:val="1"/>
      <w:numFmt w:val="lowerRoman"/>
      <w:lvlText w:val="%3."/>
      <w:lvlJc w:val="right"/>
      <w:pPr>
        <w:ind w:left="2927" w:hanging="180"/>
      </w:pPr>
    </w:lvl>
    <w:lvl w:ilvl="3" w:tplc="340A000F" w:tentative="1">
      <w:start w:val="1"/>
      <w:numFmt w:val="decimal"/>
      <w:lvlText w:val="%4."/>
      <w:lvlJc w:val="left"/>
      <w:pPr>
        <w:ind w:left="3647" w:hanging="360"/>
      </w:pPr>
    </w:lvl>
    <w:lvl w:ilvl="4" w:tplc="340A0019" w:tentative="1">
      <w:start w:val="1"/>
      <w:numFmt w:val="lowerLetter"/>
      <w:lvlText w:val="%5."/>
      <w:lvlJc w:val="left"/>
      <w:pPr>
        <w:ind w:left="4367" w:hanging="360"/>
      </w:pPr>
    </w:lvl>
    <w:lvl w:ilvl="5" w:tplc="340A001B" w:tentative="1">
      <w:start w:val="1"/>
      <w:numFmt w:val="lowerRoman"/>
      <w:lvlText w:val="%6."/>
      <w:lvlJc w:val="right"/>
      <w:pPr>
        <w:ind w:left="5087" w:hanging="180"/>
      </w:pPr>
    </w:lvl>
    <w:lvl w:ilvl="6" w:tplc="340A000F" w:tentative="1">
      <w:start w:val="1"/>
      <w:numFmt w:val="decimal"/>
      <w:lvlText w:val="%7."/>
      <w:lvlJc w:val="left"/>
      <w:pPr>
        <w:ind w:left="5807" w:hanging="360"/>
      </w:pPr>
    </w:lvl>
    <w:lvl w:ilvl="7" w:tplc="340A0019" w:tentative="1">
      <w:start w:val="1"/>
      <w:numFmt w:val="lowerLetter"/>
      <w:lvlText w:val="%8."/>
      <w:lvlJc w:val="left"/>
      <w:pPr>
        <w:ind w:left="6527" w:hanging="360"/>
      </w:pPr>
    </w:lvl>
    <w:lvl w:ilvl="8" w:tplc="34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" w15:restartNumberingAfterBreak="0">
    <w:nsid w:val="7441264E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0"/>
  </w:num>
  <w:num w:numId="11">
    <w:abstractNumId w:val="17"/>
  </w:num>
  <w:num w:numId="12">
    <w:abstractNumId w:val="2"/>
  </w:num>
  <w:num w:numId="13">
    <w:abstractNumId w:val="14"/>
  </w:num>
  <w:num w:numId="14">
    <w:abstractNumId w:val="7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B"/>
    <w:rsid w:val="00006F6B"/>
    <w:rsid w:val="001022A4"/>
    <w:rsid w:val="001874A9"/>
    <w:rsid w:val="001C1012"/>
    <w:rsid w:val="002011A4"/>
    <w:rsid w:val="00254C2F"/>
    <w:rsid w:val="003B5B05"/>
    <w:rsid w:val="003C5ABD"/>
    <w:rsid w:val="003C6011"/>
    <w:rsid w:val="004425F9"/>
    <w:rsid w:val="004F3254"/>
    <w:rsid w:val="00513EBA"/>
    <w:rsid w:val="0055129E"/>
    <w:rsid w:val="00596D17"/>
    <w:rsid w:val="00634B3C"/>
    <w:rsid w:val="006A3F26"/>
    <w:rsid w:val="006D64B8"/>
    <w:rsid w:val="00704A8F"/>
    <w:rsid w:val="00745803"/>
    <w:rsid w:val="00785CBF"/>
    <w:rsid w:val="00836AA9"/>
    <w:rsid w:val="008543A5"/>
    <w:rsid w:val="0086798B"/>
    <w:rsid w:val="00876CAE"/>
    <w:rsid w:val="00894581"/>
    <w:rsid w:val="00997283"/>
    <w:rsid w:val="009F49AC"/>
    <w:rsid w:val="00A5256B"/>
    <w:rsid w:val="00A70A1B"/>
    <w:rsid w:val="00AA0D3C"/>
    <w:rsid w:val="00B27E3A"/>
    <w:rsid w:val="00C03ECB"/>
    <w:rsid w:val="00C77780"/>
    <w:rsid w:val="00C82222"/>
    <w:rsid w:val="00CB11DC"/>
    <w:rsid w:val="00CD6426"/>
    <w:rsid w:val="00E42F4F"/>
    <w:rsid w:val="00E81B52"/>
    <w:rsid w:val="00E94980"/>
    <w:rsid w:val="00F35385"/>
    <w:rsid w:val="00F52E79"/>
    <w:rsid w:val="00F6690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A4259E-FC89-44AD-9F4C-BB0E0F0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E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E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3ECB"/>
    <w:pPr>
      <w:ind w:left="720"/>
      <w:contextualSpacing/>
    </w:pPr>
  </w:style>
  <w:style w:type="paragraph" w:customStyle="1" w:styleId="margen-abajo-xs">
    <w:name w:val="margen-abajo-xs"/>
    <w:basedOn w:val="Normal"/>
    <w:rsid w:val="004F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012"/>
  </w:style>
  <w:style w:type="paragraph" w:styleId="Piedepgina">
    <w:name w:val="footer"/>
    <w:basedOn w:val="Normal"/>
    <w:link w:val="Piedepgina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012"/>
  </w:style>
  <w:style w:type="character" w:customStyle="1" w:styleId="Ttulo2Car">
    <w:name w:val="Título 2 Car"/>
    <w:basedOn w:val="Fuentedeprrafopredeter"/>
    <w:link w:val="Ttulo2"/>
    <w:uiPriority w:val="9"/>
    <w:rsid w:val="00E81B5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0A24-8C7E-4784-9D8E-93A19748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ciedess</cp:lastModifiedBy>
  <cp:revision>4</cp:revision>
  <dcterms:created xsi:type="dcterms:W3CDTF">2019-01-23T11:17:00Z</dcterms:created>
  <dcterms:modified xsi:type="dcterms:W3CDTF">2019-01-23T12:51:00Z</dcterms:modified>
</cp:coreProperties>
</file>